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bCs/>
          <w:color w:val="000009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9"/>
          <w:sz w:val="28"/>
          <w:szCs w:val="28"/>
          <w:lang w:val="en-US"/>
        </w:rPr>
        <w:t>BBT3702</w:t>
      </w:r>
    </w:p>
    <w:tbl>
      <w:tblPr>
        <w:tblStyle w:val="5"/>
        <w:tblpPr w:leftFromText="180" w:rightFromText="180" w:vertAnchor="text" w:horzAnchor="margin" w:tblpXSpec="right" w:tblpY="221"/>
        <w:tblW w:w="13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347"/>
        <w:gridCol w:w="337"/>
        <w:gridCol w:w="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347" w:type="dxa"/>
          </w:tcPr>
          <w:p>
            <w:pPr>
              <w:pStyle w:val="6"/>
              <w:spacing w:line="302" w:lineRule="exact"/>
              <w:ind w:left="10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L</w:t>
            </w:r>
          </w:p>
        </w:tc>
        <w:tc>
          <w:tcPr>
            <w:tcW w:w="347" w:type="dxa"/>
          </w:tcPr>
          <w:p>
            <w:pPr>
              <w:pStyle w:val="6"/>
              <w:spacing w:line="302" w:lineRule="exact"/>
              <w:ind w:left="5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T</w:t>
            </w:r>
          </w:p>
        </w:tc>
        <w:tc>
          <w:tcPr>
            <w:tcW w:w="337" w:type="dxa"/>
          </w:tcPr>
          <w:p>
            <w:pPr>
              <w:pStyle w:val="6"/>
              <w:spacing w:line="302" w:lineRule="exact"/>
              <w:ind w:left="4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P</w:t>
            </w:r>
          </w:p>
        </w:tc>
        <w:tc>
          <w:tcPr>
            <w:tcW w:w="358" w:type="dxa"/>
          </w:tcPr>
          <w:p>
            <w:pPr>
              <w:pStyle w:val="6"/>
              <w:spacing w:line="302" w:lineRule="exact"/>
              <w:ind w:left="10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47" w:type="dxa"/>
          </w:tcPr>
          <w:p>
            <w:pPr>
              <w:pStyle w:val="6"/>
              <w:spacing w:before="1" w:line="301" w:lineRule="exact"/>
              <w:ind w:left="100"/>
              <w:rPr>
                <w:b/>
                <w:sz w:val="28"/>
              </w:rPr>
            </w:pPr>
            <w:r>
              <w:rPr>
                <w:b/>
                <w:color w:val="000009"/>
                <w:w w:val="99"/>
                <w:sz w:val="28"/>
              </w:rPr>
              <w:t>3</w:t>
            </w:r>
          </w:p>
        </w:tc>
        <w:tc>
          <w:tcPr>
            <w:tcW w:w="347" w:type="dxa"/>
          </w:tcPr>
          <w:p>
            <w:pPr>
              <w:pStyle w:val="6"/>
              <w:spacing w:before="1"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w w:val="99"/>
                <w:sz w:val="28"/>
              </w:rPr>
              <w:t>0</w:t>
            </w:r>
          </w:p>
        </w:tc>
        <w:tc>
          <w:tcPr>
            <w:tcW w:w="337" w:type="dxa"/>
          </w:tcPr>
          <w:p>
            <w:pPr>
              <w:pStyle w:val="6"/>
              <w:spacing w:before="1" w:line="30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w w:val="99"/>
                <w:sz w:val="28"/>
              </w:rPr>
              <w:t>2</w:t>
            </w:r>
          </w:p>
        </w:tc>
        <w:tc>
          <w:tcPr>
            <w:tcW w:w="358" w:type="dxa"/>
          </w:tcPr>
          <w:p>
            <w:pPr>
              <w:pStyle w:val="6"/>
              <w:spacing w:before="1" w:line="301" w:lineRule="exact"/>
              <w:ind w:left="101"/>
              <w:rPr>
                <w:b/>
                <w:sz w:val="28"/>
              </w:rPr>
            </w:pPr>
            <w:r>
              <w:rPr>
                <w:b/>
                <w:color w:val="000009"/>
                <w:w w:val="99"/>
                <w:sz w:val="28"/>
              </w:rPr>
              <w:t>4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</w:pPr>
    </w:p>
    <w:p>
      <w:pP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</w:pPr>
    </w:p>
    <w:p>
      <w:pP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  <w:t>Learning Objectives:</w:t>
      </w:r>
    </w:p>
    <w:p>
      <w:pPr>
        <w:pStyle w:val="7"/>
        <w:numPr>
          <w:ilvl w:val="0"/>
          <w:numId w:val="1"/>
        </w:numPr>
        <w:ind w:left="426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Students will learn the basic concept of pH and buffers</w:t>
      </w:r>
    </w:p>
    <w:p>
      <w:pPr>
        <w:pStyle w:val="7"/>
        <w:numPr>
          <w:ilvl w:val="0"/>
          <w:numId w:val="1"/>
        </w:numPr>
        <w:ind w:left="426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To ensure students to have strong foundation in structure, composition and function of various biomolecules and their metabolism</w:t>
      </w:r>
    </w:p>
    <w:p>
      <w:pPr>
        <w:pStyle w:val="7"/>
        <w:numPr>
          <w:ilvl w:val="0"/>
          <w:numId w:val="1"/>
        </w:numPr>
        <w:ind w:left="426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To apply these fundamentals in biotechnology</w:t>
      </w:r>
    </w:p>
    <w:p>
      <w:pPr>
        <w:spacing w:after="0"/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</w:pPr>
    </w:p>
    <w:p>
      <w:pP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  <w:t xml:space="preserve">Learning Outcomes: </w:t>
      </w:r>
    </w:p>
    <w:p>
      <w:pPr>
        <w:pStyle w:val="7"/>
        <w:numPr>
          <w:ilvl w:val="0"/>
          <w:numId w:val="1"/>
        </w:numPr>
        <w:ind w:left="426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Students will be able to explain the concept of pH and biological buffer system</w:t>
      </w:r>
    </w:p>
    <w:p>
      <w:pPr>
        <w:pStyle w:val="7"/>
        <w:numPr>
          <w:ilvl w:val="0"/>
          <w:numId w:val="1"/>
        </w:numPr>
        <w:ind w:left="426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Students will be able to understand the structure and function of biomolecules</w:t>
      </w:r>
    </w:p>
    <w:p>
      <w:pPr>
        <w:pStyle w:val="7"/>
        <w:numPr>
          <w:ilvl w:val="0"/>
          <w:numId w:val="1"/>
        </w:numPr>
        <w:ind w:left="426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By understanding the biomolecules, they obtain knowledge to continue other advanced courses including metabolism and bioenergetics, Molecular Biology, Enzyme Engineering, Genetic Engineering.</w:t>
      </w:r>
    </w:p>
    <w:p/>
    <w:p>
      <w:pPr>
        <w:spacing w:before="240" w:after="0"/>
      </w:pPr>
      <w: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  <w:t>UNIT I: Water, pH and Buffer system</w:t>
      </w:r>
    </w:p>
    <w:p>
      <w:pPr>
        <w:spacing w:before="240" w:after="0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  <w:t>Water: Structure; Properties; Non-covalent interactions; Role in biological processes, Ionization of water, pH scale, Weak acids and bases, Buffers and buffering mechanism, Henderson Hasselbalch equation.</w:t>
      </w:r>
    </w:p>
    <w:p>
      <w:pPr>
        <w:spacing w:after="0"/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</w:pPr>
    </w:p>
    <w:p>
      <w:pPr>
        <w:spacing w:before="240" w:after="0"/>
      </w:pPr>
      <w: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  <w:t>UNIT II: Carbohydrate and its Metabolism</w:t>
      </w:r>
    </w:p>
    <w:p>
      <w:pPr>
        <w:spacing w:before="240" w:after="0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  <w:t>Carbohydrates: Classification; Structure; Ring structure and mutarotation, Stereo isomers, Structural isomers and Anomers, General idea of central metabolic pathways like Glycolysis; HMP and TCA cycle.</w:t>
      </w:r>
    </w:p>
    <w:p>
      <w:pPr>
        <w:spacing w:after="0"/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</w:pPr>
    </w:p>
    <w:p>
      <w:pPr>
        <w:spacing w:before="240" w:after="0"/>
      </w:pPr>
      <w: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  <w:t>UNIT III: Fats, Lipids and their Metabolism</w:t>
      </w:r>
    </w:p>
    <w:p>
      <w:pPr>
        <w:spacing w:before="240" w:after="0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  <w:t>Fats and lipids: Classification; Structure; Function, Simple, Compound and Derived lipids, Essential fatty acids, Activation and transport of fatty acid from cytosol to mitochondria for oxidation, Oxidation of fatty acids (β-oxidation).</w:t>
      </w:r>
    </w:p>
    <w:p>
      <w:pPr>
        <w:spacing w:after="0"/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</w:pPr>
    </w:p>
    <w:p>
      <w:pPr>
        <w:spacing w:before="240" w:after="0"/>
      </w:pPr>
      <w: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  <w:t>UNIT IV: Amino Acids and their Metabolism</w:t>
      </w:r>
    </w:p>
    <w:p>
      <w:pPr>
        <w:spacing w:before="240" w:after="0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  <w:t>Classification and structure of amino acids, Essential amino acids, Peptide bond formation, Ramachandran plot, Structure of proteins, General idea about Deamination; transamination of amino acids and Urea Cycle.</w:t>
      </w:r>
    </w:p>
    <w:p>
      <w:pPr>
        <w:spacing w:before="240" w:after="0"/>
      </w:pPr>
      <w:r>
        <w:rPr>
          <w:rFonts w:ascii="Times New Roman" w:hAnsi="Times New Roman" w:eastAsia="Times New Roman" w:cs="Times New Roman"/>
          <w:b/>
          <w:color w:val="000009"/>
          <w:sz w:val="28"/>
          <w:szCs w:val="28"/>
          <w:lang w:val="en-US"/>
        </w:rPr>
        <w:t>UNIT V: Nucleic acids</w:t>
      </w:r>
    </w:p>
    <w:p>
      <w:pPr>
        <w:spacing w:before="240" w:after="0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  <w:t xml:space="preserve">DNA and RNA: Purines and pyrimidines: Structure and properties, Metabolism of Nucleotides: Purines and Pyrimidines synthesis, </w:t>
      </w:r>
      <w:r>
        <w:rPr>
          <w:rFonts w:ascii="Times New Roman" w:hAnsi="Times New Roman" w:eastAsia="Times New Roman" w:cs="Times New Roman"/>
          <w:i/>
          <w:iCs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  <w:t xml:space="preserve">de Novo </w:t>
      </w:r>
      <w:r>
        <w:rPr>
          <w:rFonts w:ascii="Times New Roman" w:hAnsi="Times New Roman" w:eastAsia="Times New Roman" w:cs="Times New Roman"/>
          <w:color w:val="000000" w:themeColor="text1"/>
          <w:sz w:val="27"/>
          <w:szCs w:val="28"/>
          <w:lang w:val="en-US"/>
          <w14:textFill>
            <w14:solidFill>
              <w14:schemeClr w14:val="tx1"/>
            </w14:solidFill>
          </w14:textFill>
        </w:rPr>
        <w:t xml:space="preserve">and salvage pathway, Formation of deoxyribonucleotides, Catabolism and salvage of Purine and Pyrimidine. </w:t>
      </w:r>
    </w:p>
    <w:p>
      <w:pPr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  <w:u w:val="thick" w:color="000009"/>
          <w:lang w:val="en-US"/>
        </w:rPr>
      </w:pPr>
    </w:p>
    <w:p>
      <w:pPr>
        <w:rPr>
          <w:rFonts w:ascii="Times New Roman" w:hAnsi="Times New Roman" w:eastAsia="Times New Roman" w:cs="Times New Roman"/>
          <w:b/>
          <w:bCs/>
          <w:i/>
          <w:color w:val="000000" w:themeColor="text1"/>
          <w:sz w:val="27"/>
          <w:szCs w:val="28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7"/>
          <w:szCs w:val="28"/>
          <w:u w:val="single"/>
          <w:lang w:val="en-US"/>
          <w14:textFill>
            <w14:solidFill>
              <w14:schemeClr w14:val="tx1"/>
            </w14:solidFill>
          </w14:textFill>
        </w:rPr>
        <w:t>TEXT BOOKS</w:t>
      </w:r>
    </w:p>
    <w:p>
      <w:pPr>
        <w:pStyle w:val="7"/>
        <w:numPr>
          <w:ilvl w:val="0"/>
          <w:numId w:val="2"/>
        </w:numPr>
        <w:ind w:left="426"/>
        <w:jc w:val="both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Nelson D.L., Lehninger A.L and Cox M.M. 2008. Lehninger, Principles of Biochemistry. 5</w:t>
      </w:r>
      <w:r>
        <w:rPr>
          <w:color w:val="000000" w:themeColor="text1"/>
          <w:sz w:val="27"/>
          <w:szCs w:val="28"/>
          <w:vertAlign w:val="superscript"/>
          <w14:textFill>
            <w14:solidFill>
              <w14:schemeClr w14:val="tx1"/>
            </w14:solidFill>
          </w14:textFill>
        </w:rPr>
        <w:t xml:space="preserve">th </w:t>
      </w: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Edition. W. H. Freeman.</w:t>
      </w:r>
    </w:p>
    <w:p>
      <w:pPr>
        <w:pStyle w:val="7"/>
        <w:numPr>
          <w:ilvl w:val="0"/>
          <w:numId w:val="2"/>
        </w:numPr>
        <w:ind w:left="426"/>
        <w:jc w:val="both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Berg J.M., Tymoczko J.L and Stryer L. 2012. Biochemistry. 7</w:t>
      </w:r>
      <w:r>
        <w:rPr>
          <w:color w:val="000000" w:themeColor="text1"/>
          <w:sz w:val="27"/>
          <w:szCs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 xml:space="preserve"> Edition. W H Freeman.</w:t>
      </w:r>
    </w:p>
    <w:p>
      <w:pPr>
        <w:spacing w:after="0"/>
        <w:rPr>
          <w:rFonts w:ascii="Times New Roman" w:hAnsi="Times New Roman" w:eastAsia="Times New Roman" w:cs="Times New Roman"/>
          <w:b/>
          <w:bCs/>
          <w:i/>
          <w:color w:val="FF0000"/>
          <w:sz w:val="28"/>
          <w:szCs w:val="28"/>
          <w:u w:val="thick" w:color="000009"/>
          <w:lang w:val="en-US"/>
        </w:rPr>
      </w:pPr>
    </w:p>
    <w:p>
      <w:pPr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u w:val="single"/>
          <w:lang w:val="en-US"/>
          <w14:textFill>
            <w14:solidFill>
              <w14:schemeClr w14:val="tx1"/>
            </w14:solidFill>
          </w14:textFill>
        </w:rPr>
        <w:t>REFERENCE BOOKS</w:t>
      </w:r>
    </w:p>
    <w:p>
      <w:pPr>
        <w:pStyle w:val="7"/>
        <w:numPr>
          <w:ilvl w:val="1"/>
          <w:numId w:val="3"/>
        </w:numPr>
        <w:ind w:left="426"/>
        <w:jc w:val="both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Voet D., Voet J.G and Pratt C.W. 2016. Fundamentals of Biochemistry: Life at the Molecular Level. 5</w:t>
      </w:r>
      <w:r>
        <w:rPr>
          <w:color w:val="000000" w:themeColor="text1"/>
          <w:sz w:val="27"/>
          <w:szCs w:val="28"/>
          <w:vertAlign w:val="superscript"/>
          <w14:textFill>
            <w14:solidFill>
              <w14:schemeClr w14:val="tx1"/>
            </w14:solidFill>
          </w14:textFill>
        </w:rPr>
        <w:t>th</w:t>
      </w: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 xml:space="preserve"> Edition. Wiley.</w:t>
      </w:r>
    </w:p>
    <w:p>
      <w:pPr>
        <w:pStyle w:val="7"/>
        <w:numPr>
          <w:ilvl w:val="1"/>
          <w:numId w:val="3"/>
        </w:numPr>
        <w:ind w:left="426"/>
        <w:jc w:val="both"/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>Rastogi S.C. 2003. Biochemistry. 3</w:t>
      </w:r>
      <w:r>
        <w:rPr>
          <w:color w:val="000000" w:themeColor="text1"/>
          <w:sz w:val="27"/>
          <w:szCs w:val="28"/>
          <w:vertAlign w:val="superscript"/>
          <w14:textFill>
            <w14:solidFill>
              <w14:schemeClr w14:val="tx1"/>
            </w14:solidFill>
          </w14:textFill>
        </w:rPr>
        <w:t>rd</w:t>
      </w:r>
      <w:r>
        <w:rPr>
          <w:color w:val="000000" w:themeColor="text1"/>
          <w:sz w:val="27"/>
          <w:szCs w:val="28"/>
          <w14:textFill>
            <w14:solidFill>
              <w14:schemeClr w14:val="tx1"/>
            </w14:solidFill>
          </w14:textFill>
        </w:rPr>
        <w:t xml:space="preserve"> Edition. Tata McGraw Hill Education Pvt Ltd.</w:t>
      </w:r>
    </w:p>
    <w:p/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904875"/>
          <wp:effectExtent l="0" t="0" r="0" b="9525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3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F9D"/>
    <w:multiLevelType w:val="multilevel"/>
    <w:tmpl w:val="17914F9D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919E5"/>
    <w:multiLevelType w:val="multilevel"/>
    <w:tmpl w:val="2C9919E5"/>
    <w:lvl w:ilvl="0" w:tentative="0">
      <w:start w:val="1"/>
      <w:numFmt w:val="bullet"/>
      <w:lvlText w:val=""/>
      <w:lvlJc w:val="left"/>
      <w:pPr>
        <w:ind w:left="28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5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2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50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7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4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71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8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606" w:hanging="360"/>
      </w:pPr>
      <w:rPr>
        <w:rFonts w:hint="default" w:ascii="Wingdings" w:hAnsi="Wingdings"/>
      </w:rPr>
    </w:lvl>
  </w:abstractNum>
  <w:abstractNum w:abstractNumId="2">
    <w:nsid w:val="61460449"/>
    <w:multiLevelType w:val="multilevel"/>
    <w:tmpl w:val="61460449"/>
    <w:lvl w:ilvl="0" w:tentative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70E3C"/>
    <w:rsid w:val="439C7124"/>
    <w:rsid w:val="51E7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lang w:val="en-US"/>
    </w:rPr>
  </w:style>
  <w:style w:type="paragraph" w:styleId="7">
    <w:name w:val="List Paragraph"/>
    <w:basedOn w:val="1"/>
    <w:qFormat/>
    <w:uiPriority w:val="34"/>
    <w:pPr>
      <w:widowControl w:val="0"/>
      <w:autoSpaceDE w:val="0"/>
      <w:autoSpaceDN w:val="0"/>
      <w:spacing w:before="32" w:after="0" w:line="240" w:lineRule="auto"/>
      <w:ind w:left="1440" w:hanging="360"/>
    </w:pPr>
    <w:rPr>
      <w:rFonts w:ascii="Times New Roman" w:hAnsi="Times New Roman" w:eastAsia="Times New Roman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2019-07-26T01:40:00Z</dcterms:created>
  <dc:creator>Umang Maheshwari</dc:creator>
  <cp:lastModifiedBy>Umang Maheshwari</cp:lastModifiedBy>
  <dcterms:modified xsi:type="dcterms:W3CDTF">2019-07-26T01:43:12Z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